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5859" w:rsidRDefault="00775859" w:rsidP="00775859">
      <w:pPr>
        <w:jc w:val="center"/>
      </w:pPr>
      <w:r>
        <w:t>University Curriculum Committee: General Education Subcommittee</w:t>
      </w:r>
    </w:p>
    <w:p w:rsidR="00775859" w:rsidRDefault="00775859" w:rsidP="00775859">
      <w:pPr>
        <w:jc w:val="center"/>
      </w:pPr>
      <w:r>
        <w:t>Round 1: Wednesday, October 12, 2022</w:t>
      </w:r>
    </w:p>
    <w:p w:rsidR="005336EC" w:rsidRDefault="005336EC" w:rsidP="00775859">
      <w:pPr>
        <w:jc w:val="center"/>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Jessica L.</w:t>
      </w:r>
      <w:r>
        <w:rPr>
          <w:rFonts w:ascii="Calibri" w:eastAsia="Times New Roman" w:hAnsi="Calibri" w:cs="Calibri"/>
          <w:color w:val="000000"/>
          <w:kern w:val="0"/>
          <w14:ligatures w14:val="none"/>
        </w:rPr>
        <w:t xml:space="preserve"> Rutherford</w:t>
      </w:r>
      <w:r w:rsidRPr="005336EC">
        <w:rPr>
          <w:rFonts w:ascii="Calibri" w:eastAsia="Times New Roman" w:hAnsi="Calibri" w:cs="Calibri"/>
          <w:color w:val="000000"/>
          <w:kern w:val="0"/>
          <w14:ligatures w14:val="none"/>
        </w:rPr>
        <w:t xml:space="preserve"> (World Languages)</w:t>
      </w:r>
      <w:r>
        <w:rPr>
          <w:rFonts w:ascii="Calibri" w:eastAsia="Times New Roman" w:hAnsi="Calibri" w:cs="Calibri"/>
          <w:color w:val="000000"/>
          <w:kern w:val="0"/>
          <w14:ligatures w14:val="none"/>
        </w:rPr>
        <w:t>, Chair</w:t>
      </w:r>
    </w:p>
    <w:p w:rsidR="005336EC" w:rsidRPr="005336EC" w:rsidRDefault="005336EC" w:rsidP="005336EC">
      <w:pPr>
        <w:spacing w:after="0" w:line="240" w:lineRule="auto"/>
        <w:jc w:val="center"/>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Heather</w:t>
      </w:r>
      <w:r>
        <w:rPr>
          <w:rFonts w:ascii="Calibri" w:eastAsia="Times New Roman" w:hAnsi="Calibri" w:cs="Calibri"/>
          <w:color w:val="000000"/>
          <w:kern w:val="0"/>
          <w14:ligatures w14:val="none"/>
        </w:rPr>
        <w:t xml:space="preserve"> de Savage</w:t>
      </w:r>
      <w:r w:rsidRPr="005336EC">
        <w:rPr>
          <w:rFonts w:ascii="Calibri" w:eastAsia="Times New Roman" w:hAnsi="Calibri" w:cs="Calibri"/>
          <w:color w:val="000000"/>
          <w:kern w:val="0"/>
          <w14:ligatures w14:val="none"/>
        </w:rPr>
        <w:t xml:space="preserve"> (Music)</w:t>
      </w:r>
      <w:r>
        <w:rPr>
          <w:rFonts w:ascii="Calibri" w:eastAsia="Times New Roman" w:hAnsi="Calibri" w:cs="Calibri"/>
          <w:color w:val="000000"/>
          <w:kern w:val="0"/>
          <w14:ligatures w14:val="none"/>
        </w:rPr>
        <w:t>, Secretary</w:t>
      </w:r>
    </w:p>
    <w:p w:rsidR="00775859" w:rsidRDefault="00775859" w:rsidP="00775859"/>
    <w:p w:rsidR="00775859" w:rsidRDefault="00775859" w:rsidP="00775859">
      <w:r>
        <w:t>Attendance:</w:t>
      </w:r>
      <w:r w:rsidR="00E2146D">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685"/>
      </w:tblGrid>
      <w:tr w:rsidR="00E2146D" w:rsidTr="005336EC">
        <w:trPr>
          <w:trHeight w:val="3150"/>
        </w:trPr>
        <w:tc>
          <w:tcPr>
            <w:tcW w:w="4945" w:type="dxa"/>
          </w:tcPr>
          <w:tbl>
            <w:tblPr>
              <w:tblW w:w="4459" w:type="dxa"/>
              <w:tblCellMar>
                <w:top w:w="15" w:type="dxa"/>
                <w:bottom w:w="15" w:type="dxa"/>
              </w:tblCellMar>
              <w:tblLook w:val="04A0" w:firstRow="1" w:lastRow="0" w:firstColumn="1" w:lastColumn="0" w:noHBand="0" w:noVBand="1"/>
            </w:tblPr>
            <w:tblGrid>
              <w:gridCol w:w="4459"/>
            </w:tblGrid>
            <w:tr w:rsidR="00E2146D" w:rsidRPr="00E2146D" w:rsidTr="005336EC">
              <w:trPr>
                <w:trHeight w:val="300"/>
              </w:trPr>
              <w:tc>
                <w:tcPr>
                  <w:tcW w:w="4459" w:type="dxa"/>
                  <w:noWrap/>
                  <w:vAlign w:val="bottom"/>
                  <w:hideMark/>
                </w:tcPr>
                <w:tbl>
                  <w:tblPr>
                    <w:tblW w:w="3966" w:type="dxa"/>
                    <w:tblCellMar>
                      <w:top w:w="15" w:type="dxa"/>
                      <w:bottom w:w="15" w:type="dxa"/>
                    </w:tblCellMar>
                    <w:tblLook w:val="04A0" w:firstRow="1" w:lastRow="0" w:firstColumn="1" w:lastColumn="0" w:noHBand="0" w:noVBand="1"/>
                  </w:tblPr>
                  <w:tblGrid>
                    <w:gridCol w:w="3966"/>
                  </w:tblGrid>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Biskupski, M (History)</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Brown-Foster, Walton (Political Science)</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Cohen, Stephen (English)</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DA (Guest)</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w:t>
                        </w:r>
                        <w:r w:rsidRPr="005336EC">
                          <w:rPr>
                            <w:rFonts w:ascii="Calibri" w:eastAsia="Times New Roman" w:hAnsi="Calibri" w:cs="Calibri"/>
                            <w:color w:val="000000"/>
                            <w:kern w:val="0"/>
                            <w14:ligatures w14:val="none"/>
                          </w:rPr>
                          <w:t>e</w:t>
                        </w:r>
                        <w:r>
                          <w:rPr>
                            <w:rFonts w:ascii="Calibri" w:eastAsia="Times New Roman" w:hAnsi="Calibri" w:cs="Calibri"/>
                            <w:color w:val="000000"/>
                            <w:kern w:val="0"/>
                            <w14:ligatures w14:val="none"/>
                          </w:rPr>
                          <w:t xml:space="preserve"> </w:t>
                        </w:r>
                        <w:r w:rsidRPr="005336EC">
                          <w:rPr>
                            <w:rFonts w:ascii="Calibri" w:eastAsia="Times New Roman" w:hAnsi="Calibri" w:cs="Calibri"/>
                            <w:color w:val="000000"/>
                            <w:kern w:val="0"/>
                            <w14:ligatures w14:val="none"/>
                          </w:rPr>
                          <w:t>Savage, Heather (Music)</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Fallon, Marianne (Psychological Science/Theatre)</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Goh, Tan Leng (Physical Education Human Performance)</w:t>
                        </w:r>
                      </w:p>
                    </w:tc>
                  </w:tr>
                  <w:tr w:rsidR="005336EC" w:rsidRPr="005336EC" w:rsidTr="005336EC">
                    <w:trPr>
                      <w:trHeight w:val="300"/>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p>
                    </w:tc>
                  </w:tr>
                  <w:tr w:rsidR="005336EC" w:rsidRPr="005336EC" w:rsidTr="005336EC">
                    <w:trPr>
                      <w:trHeight w:val="65"/>
                    </w:trPr>
                    <w:tc>
                      <w:tcPr>
                        <w:tcW w:w="3966"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p>
                    </w:tc>
                  </w:tr>
                </w:tbl>
                <w:p w:rsidR="00E2146D" w:rsidRPr="00E2146D" w:rsidRDefault="00E2146D" w:rsidP="00E2146D">
                  <w:pPr>
                    <w:spacing w:after="0" w:line="240" w:lineRule="auto"/>
                    <w:rPr>
                      <w:rFonts w:ascii="Calibri" w:eastAsia="Times New Roman" w:hAnsi="Calibri" w:cs="Calibri"/>
                      <w:color w:val="000000"/>
                      <w:kern w:val="0"/>
                      <w14:ligatures w14:val="none"/>
                    </w:rPr>
                  </w:pPr>
                </w:p>
              </w:tc>
            </w:tr>
            <w:tr w:rsidR="00E2146D" w:rsidRPr="00E2146D" w:rsidTr="005336EC">
              <w:trPr>
                <w:trHeight w:val="300"/>
              </w:trPr>
              <w:tc>
                <w:tcPr>
                  <w:tcW w:w="4459" w:type="dxa"/>
                  <w:noWrap/>
                  <w:vAlign w:val="bottom"/>
                  <w:hideMark/>
                </w:tcPr>
                <w:p w:rsidR="00E2146D" w:rsidRPr="00E2146D" w:rsidRDefault="00E2146D" w:rsidP="00E2146D">
                  <w:pPr>
                    <w:spacing w:after="0" w:line="240" w:lineRule="auto"/>
                    <w:rPr>
                      <w:rFonts w:ascii="Calibri" w:eastAsia="Times New Roman" w:hAnsi="Calibri" w:cs="Calibri"/>
                      <w:color w:val="000000"/>
                      <w:kern w:val="0"/>
                      <w14:ligatures w14:val="none"/>
                    </w:rPr>
                  </w:pPr>
                </w:p>
              </w:tc>
            </w:tr>
          </w:tbl>
          <w:p w:rsidR="00E2146D" w:rsidRDefault="00E2146D" w:rsidP="00775859"/>
        </w:tc>
        <w:tc>
          <w:tcPr>
            <w:tcW w:w="4685" w:type="dxa"/>
          </w:tcPr>
          <w:tbl>
            <w:tblPr>
              <w:tblW w:w="4305" w:type="dxa"/>
              <w:tblCellMar>
                <w:top w:w="15" w:type="dxa"/>
                <w:bottom w:w="15" w:type="dxa"/>
              </w:tblCellMar>
              <w:tblLook w:val="04A0" w:firstRow="1" w:lastRow="0" w:firstColumn="1" w:lastColumn="0" w:noHBand="0" w:noVBand="1"/>
            </w:tblPr>
            <w:tblGrid>
              <w:gridCol w:w="4305"/>
            </w:tblGrid>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 xml:space="preserve">Kim, </w:t>
                  </w:r>
                  <w:proofErr w:type="spellStart"/>
                  <w:r w:rsidRPr="005336EC">
                    <w:rPr>
                      <w:rFonts w:ascii="Calibri" w:eastAsia="Times New Roman" w:hAnsi="Calibri" w:cs="Calibri"/>
                      <w:color w:val="000000"/>
                      <w:kern w:val="0"/>
                      <w14:ligatures w14:val="none"/>
                    </w:rPr>
                    <w:t>Yeojin</w:t>
                  </w:r>
                  <w:proofErr w:type="spellEnd"/>
                  <w:r w:rsidRPr="005336EC">
                    <w:rPr>
                      <w:rFonts w:ascii="Calibri" w:eastAsia="Times New Roman" w:hAnsi="Calibri" w:cs="Calibri"/>
                      <w:color w:val="000000"/>
                      <w:kern w:val="0"/>
                      <w14:ligatures w14:val="none"/>
                    </w:rPr>
                    <w:t xml:space="preserve"> (Communication)</w:t>
                  </w:r>
                </w:p>
              </w:tc>
            </w:tr>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 xml:space="preserve">Kwon, </w:t>
                  </w:r>
                  <w:proofErr w:type="spellStart"/>
                  <w:r w:rsidRPr="005336EC">
                    <w:rPr>
                      <w:rFonts w:ascii="Calibri" w:eastAsia="Times New Roman" w:hAnsi="Calibri" w:cs="Calibri"/>
                      <w:color w:val="000000"/>
                      <w:kern w:val="0"/>
                      <w14:ligatures w14:val="none"/>
                    </w:rPr>
                    <w:t>Ohjin</w:t>
                  </w:r>
                  <w:proofErr w:type="spellEnd"/>
                  <w:r w:rsidRPr="005336EC">
                    <w:rPr>
                      <w:rFonts w:ascii="Calibri" w:eastAsia="Times New Roman" w:hAnsi="Calibri" w:cs="Calibri"/>
                      <w:color w:val="000000"/>
                      <w:kern w:val="0"/>
                      <w14:ligatures w14:val="none"/>
                    </w:rPr>
                    <w:t xml:space="preserve"> (Marketing)</w:t>
                  </w:r>
                </w:p>
              </w:tc>
            </w:tr>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Lee, Byung (Criminology and Criminal Justice)</w:t>
                  </w:r>
                </w:p>
              </w:tc>
            </w:tr>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Marjani, Sadie (Biology)</w:t>
                  </w:r>
                </w:p>
              </w:tc>
            </w:tr>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proofErr w:type="spellStart"/>
                  <w:r w:rsidRPr="005336EC">
                    <w:rPr>
                      <w:rFonts w:ascii="Calibri" w:eastAsia="Times New Roman" w:hAnsi="Calibri" w:cs="Calibri"/>
                      <w:color w:val="000000"/>
                      <w:kern w:val="0"/>
                      <w14:ligatures w14:val="none"/>
                    </w:rPr>
                    <w:t>Menoche</w:t>
                  </w:r>
                  <w:proofErr w:type="spellEnd"/>
                  <w:r w:rsidRPr="005336EC">
                    <w:rPr>
                      <w:rFonts w:ascii="Calibri" w:eastAsia="Times New Roman" w:hAnsi="Calibri" w:cs="Calibri"/>
                      <w:color w:val="000000"/>
                      <w:kern w:val="0"/>
                      <w14:ligatures w14:val="none"/>
                    </w:rPr>
                    <w:t>, Charles (Music)</w:t>
                  </w:r>
                </w:p>
              </w:tc>
            </w:tr>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Moore, Edward (Engineering)</w:t>
                  </w:r>
                </w:p>
              </w:tc>
            </w:tr>
            <w:tr w:rsidR="005336EC" w:rsidRPr="005336EC" w:rsidTr="005336EC">
              <w:trPr>
                <w:trHeight w:val="300"/>
              </w:trPr>
              <w:tc>
                <w:tcPr>
                  <w:tcW w:w="4305" w:type="dxa"/>
                  <w:noWrap/>
                  <w:vAlign w:val="bottom"/>
                  <w:hideMark/>
                </w:tcPr>
                <w:p w:rsid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Rutherford, Jessica L. (World Languages)</w:t>
                  </w:r>
                </w:p>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Santoro</w:t>
                  </w:r>
                  <w:r>
                    <w:rPr>
                      <w:rFonts w:ascii="Calibri" w:eastAsia="Times New Roman" w:hAnsi="Calibri" w:cs="Calibri"/>
                      <w:color w:val="000000"/>
                      <w:kern w:val="0"/>
                      <w14:ligatures w14:val="none"/>
                    </w:rPr>
                    <w:t>, Karen</w:t>
                  </w:r>
                  <w:r w:rsidRPr="005336EC">
                    <w:rPr>
                      <w:rFonts w:ascii="Calibri" w:eastAsia="Times New Roman" w:hAnsi="Calibri" w:cs="Calibri"/>
                      <w:color w:val="000000"/>
                      <w:kern w:val="0"/>
                      <w14:ligatures w14:val="none"/>
                    </w:rPr>
                    <w:t xml:space="preserve"> (Guest)</w:t>
                  </w:r>
                </w:p>
              </w:tc>
            </w:tr>
            <w:tr w:rsidR="005336EC" w:rsidRPr="005336EC" w:rsidTr="005336EC">
              <w:trPr>
                <w:trHeight w:val="300"/>
              </w:trPr>
              <w:tc>
                <w:tcPr>
                  <w:tcW w:w="4305" w:type="dxa"/>
                  <w:noWrap/>
                  <w:vAlign w:val="bottom"/>
                  <w:hideMark/>
                </w:tcPr>
                <w:p w:rsidR="005336EC" w:rsidRPr="005336EC" w:rsidRDefault="005336EC" w:rsidP="005336EC">
                  <w:pPr>
                    <w:spacing w:after="0" w:line="240" w:lineRule="auto"/>
                    <w:rPr>
                      <w:rFonts w:ascii="Calibri" w:eastAsia="Times New Roman" w:hAnsi="Calibri" w:cs="Calibri"/>
                      <w:color w:val="000000"/>
                      <w:kern w:val="0"/>
                      <w14:ligatures w14:val="none"/>
                    </w:rPr>
                  </w:pPr>
                  <w:r w:rsidRPr="005336EC">
                    <w:rPr>
                      <w:rFonts w:ascii="Calibri" w:eastAsia="Times New Roman" w:hAnsi="Calibri" w:cs="Calibri"/>
                      <w:color w:val="000000"/>
                      <w:kern w:val="0"/>
                      <w14:ligatures w14:val="none"/>
                    </w:rPr>
                    <w:t xml:space="preserve">Singh, </w:t>
                  </w:r>
                  <w:proofErr w:type="spellStart"/>
                  <w:r w:rsidRPr="005336EC">
                    <w:rPr>
                      <w:rFonts w:ascii="Calibri" w:eastAsia="Times New Roman" w:hAnsi="Calibri" w:cs="Calibri"/>
                      <w:color w:val="000000"/>
                      <w:kern w:val="0"/>
                      <w14:ligatures w14:val="none"/>
                    </w:rPr>
                    <w:t>Gurbakhshash</w:t>
                  </w:r>
                  <w:proofErr w:type="spellEnd"/>
                  <w:r w:rsidRPr="005336EC">
                    <w:rPr>
                      <w:rFonts w:ascii="Calibri" w:eastAsia="Times New Roman" w:hAnsi="Calibri" w:cs="Calibri"/>
                      <w:color w:val="000000"/>
                      <w:kern w:val="0"/>
                      <w14:ligatures w14:val="none"/>
                    </w:rPr>
                    <w:t xml:space="preserve"> (Math)</w:t>
                  </w:r>
                </w:p>
              </w:tc>
            </w:tr>
          </w:tbl>
          <w:p w:rsidR="00E2146D" w:rsidRDefault="00E2146D" w:rsidP="00775859"/>
        </w:tc>
      </w:tr>
    </w:tbl>
    <w:p w:rsidR="00E2146D" w:rsidRDefault="00E2146D" w:rsidP="005336EC"/>
    <w:p w:rsidR="00775859" w:rsidRDefault="00775859" w:rsidP="00775859">
      <w:r>
        <w:t xml:space="preserve">Meeting was called to order </w:t>
      </w:r>
      <w:r w:rsidR="005336EC">
        <w:t>at 12:15pm</w:t>
      </w:r>
    </w:p>
    <w:p w:rsidR="00775859" w:rsidRDefault="00775859" w:rsidP="00775859">
      <w:r>
        <w:t>Items for Discussion and Voting:</w:t>
      </w:r>
    </w:p>
    <w:p w:rsidR="00775859" w:rsidRDefault="00775859" w:rsidP="00775859">
      <w:pPr>
        <w:pStyle w:val="ListParagraph"/>
        <w:numPr>
          <w:ilvl w:val="0"/>
          <w:numId w:val="1"/>
        </w:numPr>
      </w:pPr>
      <w:r>
        <w:t>Regular proposals:</w:t>
      </w:r>
    </w:p>
    <w:p w:rsidR="00775859" w:rsidRDefault="00775859" w:rsidP="00775859">
      <w:pPr>
        <w:ind w:left="720"/>
      </w:pPr>
      <w:r>
        <w:t>HIST 295 Topics in History – 3 credits (Change Course)</w:t>
      </w:r>
      <w:r w:rsidR="005336EC">
        <w:t>: Minor change; no discussion required</w:t>
      </w:r>
      <w:r w:rsidR="004950E3">
        <w:t>. Moved through to the main Curriculum Committee.</w:t>
      </w:r>
    </w:p>
    <w:p w:rsidR="004950E3" w:rsidRDefault="004950E3" w:rsidP="004950E3">
      <w:pPr>
        <w:ind w:left="720"/>
      </w:pPr>
      <w:r>
        <w:t>PS 345 Terrorism – 3 credits</w:t>
      </w:r>
      <w:r w:rsidR="002B27D9">
        <w:t xml:space="preserve"> (Change Course)</w:t>
      </w:r>
      <w:r>
        <w:t>: Byung Lee verified that this item (originally scheduled for discussion and voting) had been pulled from today’s agenda, as it was another minor change. Ned Moore confirmed that Robbin Smith will be present at the Main Curriculum meeting on October 19, thus there is no reason that PS 345 should not go through for now.</w:t>
      </w:r>
      <w:r w:rsidR="00047960">
        <w:t xml:space="preserve"> Walton Brown-Foster further clarified that the item was pulled because the Political Science department could not meet the previous week. </w:t>
      </w:r>
      <w:r w:rsidR="00047960" w:rsidRPr="00047960">
        <w:rPr>
          <w:highlight w:val="yellow"/>
        </w:rPr>
        <w:t>[This might need clarification or expansion—the transcript is unclear about PS 200 and PS 300 items, other than PS 345. That was around the time I was dropped from Teams, and Jessica was having some difficulties as well.]</w:t>
      </w:r>
    </w:p>
    <w:p w:rsidR="004950E3" w:rsidRDefault="004950E3" w:rsidP="004950E3">
      <w:pPr>
        <w:ind w:left="720"/>
      </w:pPr>
      <w:r>
        <w:t xml:space="preserve">Department of Music: Charles </w:t>
      </w:r>
      <w:proofErr w:type="spellStart"/>
      <w:r>
        <w:t>Menoche</w:t>
      </w:r>
      <w:proofErr w:type="spellEnd"/>
      <w:r>
        <w:t xml:space="preserve"> discussed the following three items, as part of the larger series of curriculum changes that have been in progress for the past two years for the Music BA and Music Education BS. Th</w:t>
      </w:r>
      <w:r w:rsidR="00047960">
        <w:t>e</w:t>
      </w:r>
      <w:r>
        <w:t xml:space="preserve"> items</w:t>
      </w:r>
      <w:r w:rsidR="00047960">
        <w:t xml:space="preserve"> considered today</w:t>
      </w:r>
      <w:r>
        <w:t xml:space="preserve"> were among the proposals that were approved through the CLASS Subcommittee on October 5, 2022</w:t>
      </w:r>
      <w:r w:rsidR="00047960">
        <w:t>:</w:t>
      </w:r>
    </w:p>
    <w:p w:rsidR="00775859" w:rsidRDefault="00775859" w:rsidP="00743657">
      <w:pPr>
        <w:ind w:left="1440"/>
      </w:pPr>
      <w:r>
        <w:t>MUS 118 Electronic Music – 3 credits (New Course)</w:t>
      </w:r>
      <w:r w:rsidR="00BD62DD">
        <w:t xml:space="preserve">: Proposed for Study Area 1, this is part of the Department’s initiative to make a strong connection between CCSU Music and the Community Colleges. Because the course is similar to one available at CCSU, </w:t>
      </w:r>
      <w:r w:rsidR="00BD62DD">
        <w:lastRenderedPageBreak/>
        <w:t>students who take the course at one of the Community Colleges can receive transfer credit</w:t>
      </w:r>
      <w:r w:rsidR="00743657">
        <w:t>. Of the courses the Department is proposing for this CCSU/CC collaboration, MUS 118 is especially appropriate for General Education credit.</w:t>
      </w:r>
    </w:p>
    <w:p w:rsidR="00743657" w:rsidRDefault="00743657" w:rsidP="00743657">
      <w:pPr>
        <w:ind w:left="2160"/>
      </w:pPr>
      <w:r>
        <w:t xml:space="preserve">Stephen Cohen noted an error in the proposal, which indicates Skill Area 1; Charles </w:t>
      </w:r>
      <w:proofErr w:type="spellStart"/>
      <w:r>
        <w:t>Menoche</w:t>
      </w:r>
      <w:proofErr w:type="spellEnd"/>
      <w:r>
        <w:t xml:space="preserve"> confirmed that this was indeed an error, and that it should be Study Area 1.</w:t>
      </w:r>
    </w:p>
    <w:p w:rsidR="00743657" w:rsidRDefault="00743657" w:rsidP="00743657">
      <w:pPr>
        <w:ind w:left="2160"/>
      </w:pPr>
      <w:r>
        <w:t xml:space="preserve">Jessica Rutherford called for motion to approve; motion made by Byung Lee; seconded by Kathleen </w:t>
      </w:r>
      <w:proofErr w:type="spellStart"/>
      <w:r>
        <w:t>Bantley</w:t>
      </w:r>
      <w:proofErr w:type="spellEnd"/>
      <w:r>
        <w:t>.</w:t>
      </w:r>
    </w:p>
    <w:p w:rsidR="00743657" w:rsidRDefault="00743657" w:rsidP="00743657">
      <w:pPr>
        <w:ind w:left="2160"/>
      </w:pPr>
      <w:r>
        <w:t>Approved (unanimous)</w:t>
      </w:r>
    </w:p>
    <w:p w:rsidR="00775859" w:rsidRDefault="00775859" w:rsidP="00047960">
      <w:pPr>
        <w:ind w:left="1440"/>
      </w:pPr>
      <w:r>
        <w:t>MUS 235 Music History I – 3 credits (Change Course)</w:t>
      </w:r>
      <w:r w:rsidR="00047960">
        <w:t>: This course already has General Education credit (International)</w:t>
      </w:r>
      <w:r w:rsidR="004265A7">
        <w:t>, and only has a change of prerequisite course.</w:t>
      </w:r>
    </w:p>
    <w:p w:rsidR="00743657" w:rsidRDefault="00743657" w:rsidP="00743657">
      <w:pPr>
        <w:ind w:left="2160"/>
      </w:pPr>
      <w:r>
        <w:t xml:space="preserve">Jessica Rutherford called for motion to approve; motion made by Byung Lee; seconded by Kathleen </w:t>
      </w:r>
      <w:proofErr w:type="spellStart"/>
      <w:r>
        <w:t>Bantley</w:t>
      </w:r>
      <w:proofErr w:type="spellEnd"/>
      <w:r>
        <w:t>.</w:t>
      </w:r>
    </w:p>
    <w:p w:rsidR="00743657" w:rsidRDefault="00743657" w:rsidP="00743657">
      <w:pPr>
        <w:ind w:left="2160"/>
      </w:pPr>
      <w:r>
        <w:t>Approved (unanimous)</w:t>
      </w:r>
    </w:p>
    <w:p w:rsidR="00775859" w:rsidRDefault="00775859" w:rsidP="00FF3503">
      <w:pPr>
        <w:ind w:left="1440"/>
      </w:pPr>
      <w:r>
        <w:t>MUS 301 Coding for Music – 3 credits (New Course)</w:t>
      </w:r>
      <w:r w:rsidR="007F23F9">
        <w:t xml:space="preserve">: Proposed for Study Area 1. </w:t>
      </w:r>
    </w:p>
    <w:p w:rsidR="007F23F9" w:rsidRDefault="007F23F9" w:rsidP="007F23F9">
      <w:pPr>
        <w:ind w:left="2160"/>
      </w:pPr>
      <w:r>
        <w:t>Charles clarified that this should also be Study Area 1, rather than Skill Area 1 (as listed on the proposal).</w:t>
      </w:r>
    </w:p>
    <w:p w:rsidR="007F23F9" w:rsidRDefault="007F23F9" w:rsidP="007F23F9">
      <w:pPr>
        <w:ind w:left="2160"/>
      </w:pPr>
      <w:r>
        <w:t>Marianne Fallon asked whether there are other General Education courses at the 300 level; Ned Moore confirmed that there are a few.</w:t>
      </w:r>
    </w:p>
    <w:p w:rsidR="007F23F9" w:rsidRDefault="007F23F9" w:rsidP="007F23F9">
      <w:pPr>
        <w:ind w:left="2160"/>
      </w:pPr>
      <w:r>
        <w:t>Stephen Cohen asked about prerequisites</w:t>
      </w:r>
      <w:r w:rsidR="002B27D9">
        <w:t>, and whether majors and non-majors may both take the course.</w:t>
      </w:r>
      <w:r>
        <w:t xml:space="preserve"> Charles confirmed that there are no prerequisites</w:t>
      </w:r>
      <w:r w:rsidR="002B27D9">
        <w:t>, and that the course will be open to all students.</w:t>
      </w:r>
    </w:p>
    <w:p w:rsidR="00743657" w:rsidRDefault="00743657" w:rsidP="00743657">
      <w:pPr>
        <w:ind w:left="2160"/>
      </w:pPr>
      <w:r>
        <w:t xml:space="preserve">Jessica Rutherford called for motion to approve; motion made by Byung Lee; seconded by Kathleen </w:t>
      </w:r>
      <w:proofErr w:type="spellStart"/>
      <w:r>
        <w:t>Bantley</w:t>
      </w:r>
      <w:proofErr w:type="spellEnd"/>
      <w:r>
        <w:t>.</w:t>
      </w:r>
    </w:p>
    <w:p w:rsidR="00743657" w:rsidRDefault="00743657" w:rsidP="007F23F9">
      <w:pPr>
        <w:ind w:left="2160"/>
      </w:pPr>
      <w:r>
        <w:t>Approved (unanimous)</w:t>
      </w:r>
    </w:p>
    <w:p w:rsidR="002B27D9" w:rsidRDefault="002B27D9" w:rsidP="0048731B">
      <w:pPr>
        <w:ind w:left="720"/>
      </w:pPr>
      <w:r>
        <w:t xml:space="preserve">PS 345 Terrorism – 3 credits (Change Course): This item was brought up again, in relation to the </w:t>
      </w:r>
      <w:proofErr w:type="gramStart"/>
      <w:r>
        <w:t>International</w:t>
      </w:r>
      <w:proofErr w:type="gramEnd"/>
      <w:r>
        <w:t xml:space="preserve"> credit; Stephen Cohen questioned whether there would still be enough international content to justify the International credit. Walton Brown-Foster confirmed that there would be, and offered some discussion of the domestic and international topics of the course, including the fact that domestic does not necessarily refer to the U.S. exclusively.</w:t>
      </w:r>
    </w:p>
    <w:p w:rsidR="002B27D9" w:rsidRDefault="002B27D9" w:rsidP="002B27D9">
      <w:pPr>
        <w:ind w:left="2160"/>
      </w:pPr>
      <w:r>
        <w:t xml:space="preserve">Jessica Rutherford called for motion to approve; motion made by Byung Lee; seconded by </w:t>
      </w:r>
      <w:r w:rsidR="0048731B">
        <w:t>Stephen Cohen</w:t>
      </w:r>
      <w:r>
        <w:t>.</w:t>
      </w:r>
    </w:p>
    <w:p w:rsidR="002B27D9" w:rsidRDefault="002B27D9" w:rsidP="0048731B">
      <w:pPr>
        <w:ind w:left="2160"/>
      </w:pPr>
      <w:r>
        <w:t>Approved (unanimous)</w:t>
      </w:r>
    </w:p>
    <w:p w:rsidR="00775859" w:rsidRDefault="00775859" w:rsidP="00343731">
      <w:pPr>
        <w:ind w:left="720"/>
      </w:pPr>
      <w:r>
        <w:t>TH 126 Makeup I – 3 credits (Change Course)</w:t>
      </w:r>
      <w:r w:rsidR="00343731">
        <w:t>: Marianne Fallon addressed the proposed change from 2 credits, to 3 credits</w:t>
      </w:r>
      <w:r w:rsidR="004265A7">
        <w:t xml:space="preserve">, which </w:t>
      </w:r>
      <w:r w:rsidR="00343731">
        <w:t>underlines the rigor in the class.</w:t>
      </w:r>
    </w:p>
    <w:p w:rsidR="00343731" w:rsidRDefault="00343731" w:rsidP="00343731">
      <w:pPr>
        <w:ind w:left="2160"/>
      </w:pPr>
      <w:r>
        <w:lastRenderedPageBreak/>
        <w:t>Jessica Rutherford called for motion to approve; motion made by Byung Lee; seconded by Stephen Cohen.</w:t>
      </w:r>
    </w:p>
    <w:p w:rsidR="00343731" w:rsidRDefault="00343731" w:rsidP="00343731">
      <w:pPr>
        <w:ind w:left="2160"/>
      </w:pPr>
      <w:r>
        <w:t>Approved (unanimous)</w:t>
      </w:r>
    </w:p>
    <w:p w:rsidR="00775859" w:rsidRDefault="00775859" w:rsidP="00775859">
      <w:pPr>
        <w:pStyle w:val="ListParagraph"/>
        <w:numPr>
          <w:ilvl w:val="0"/>
          <w:numId w:val="1"/>
        </w:numPr>
      </w:pPr>
      <w:r>
        <w:t>Transfer of a required course from the new Community College system</w:t>
      </w:r>
    </w:p>
    <w:p w:rsidR="004E3CBB" w:rsidRDefault="00F97994" w:rsidP="004E3CBB">
      <w:pPr>
        <w:ind w:left="720"/>
      </w:pPr>
      <w:r>
        <w:t xml:space="preserve">Ned Moore led the discussion of the new CC course structure, and the proposal to offer General Education Credit for their course </w:t>
      </w:r>
      <w:r w:rsidR="004E3CBB">
        <w:t>CCS 101 College &amp; Career Success</w:t>
      </w:r>
      <w:r>
        <w:t xml:space="preserve">. </w:t>
      </w:r>
      <w:r w:rsidR="004E3CBB">
        <w:t>This includes topics on choosing a major, what is college, etc.</w:t>
      </w:r>
    </w:p>
    <w:p w:rsidR="004E3CBB" w:rsidRDefault="00F97994" w:rsidP="004E3CBB">
      <w:pPr>
        <w:ind w:left="1440"/>
      </w:pPr>
      <w:r>
        <w:t>Ned suggests that this course (3 credits), which is required of all CC students, is similar to CCSU’s 103 course (</w:t>
      </w:r>
      <w:r w:rsidR="004E3CBB">
        <w:t xml:space="preserve">Career Pathways, </w:t>
      </w:r>
      <w:r>
        <w:t>2 credits</w:t>
      </w:r>
      <w:r w:rsidR="004E3CBB">
        <w:t>, Skill Area 4</w:t>
      </w:r>
      <w:r>
        <w:t>). To align the two courses would mean CC students would lose a credit when transferring to CCSU</w:t>
      </w:r>
      <w:r w:rsidR="004E3CBB">
        <w:t>, but allowing Skill Area credit for CCS 101 would help students meet their requirements.</w:t>
      </w:r>
    </w:p>
    <w:p w:rsidR="004E3CBB" w:rsidRDefault="004E3CBB" w:rsidP="004E3CBB">
      <w:pPr>
        <w:ind w:left="1440"/>
      </w:pPr>
      <w:r>
        <w:t xml:space="preserve">Various questions for clarification on this proposal; Kathleen </w:t>
      </w:r>
      <w:proofErr w:type="spellStart"/>
      <w:r>
        <w:t>Bantley</w:t>
      </w:r>
      <w:proofErr w:type="spellEnd"/>
      <w:r>
        <w:t xml:space="preserve"> raised the concern about this proposal coming from the System Office, rather than a department; further discussion followed re: similar changes with the CC merger.</w:t>
      </w:r>
    </w:p>
    <w:p w:rsidR="004E3CBB" w:rsidRDefault="004E3CBB" w:rsidP="004E3CBB">
      <w:pPr>
        <w:ind w:left="1440"/>
      </w:pPr>
      <w:r>
        <w:t>Ned clarified that the motion is to give Skill Area credit, without specifically aligning it with any particular CCSU course (since 103 might not remain).</w:t>
      </w:r>
    </w:p>
    <w:p w:rsidR="00342C2C" w:rsidRDefault="00342C2C" w:rsidP="00342C2C">
      <w:pPr>
        <w:ind w:left="1440"/>
      </w:pPr>
      <w:r>
        <w:t>Jessica Rutherford called for motion to approve; motion made by Sadie Marjani; seconded by Thomas Rein.</w:t>
      </w:r>
    </w:p>
    <w:p w:rsidR="004E3CBB" w:rsidRDefault="00342C2C" w:rsidP="00797100">
      <w:pPr>
        <w:ind w:left="1440"/>
      </w:pPr>
      <w:r>
        <w:t>Approved, with 6 abstentions</w:t>
      </w:r>
      <w:r w:rsidR="00797100">
        <w:t xml:space="preserve"> (Kathleen </w:t>
      </w:r>
      <w:proofErr w:type="spellStart"/>
      <w:r w:rsidR="00797100">
        <w:t>Bantley</w:t>
      </w:r>
      <w:proofErr w:type="spellEnd"/>
      <w:r w:rsidR="00797100">
        <w:t xml:space="preserve">; Marianne Fallon; Karen Santoro; </w:t>
      </w:r>
      <w:proofErr w:type="spellStart"/>
      <w:r w:rsidR="00797100">
        <w:t>Gurbakhshash</w:t>
      </w:r>
      <w:proofErr w:type="spellEnd"/>
      <w:r w:rsidR="00797100">
        <w:t xml:space="preserve"> Singh; </w:t>
      </w:r>
      <w:proofErr w:type="spellStart"/>
      <w:r w:rsidR="00797100">
        <w:t>Yeojin</w:t>
      </w:r>
      <w:proofErr w:type="spellEnd"/>
      <w:r w:rsidR="00797100">
        <w:t xml:space="preserve"> Kim). </w:t>
      </w:r>
      <w:r>
        <w:t>As a general point, Stephen Cohen suggested a No vote for those who wish to register opposition</w:t>
      </w:r>
      <w:r w:rsidR="00797100">
        <w:t xml:space="preserve"> in the future</w:t>
      </w:r>
      <w:r>
        <w:t>.</w:t>
      </w:r>
    </w:p>
    <w:p w:rsidR="00775859" w:rsidRDefault="00775859" w:rsidP="00775859">
      <w:pPr>
        <w:pStyle w:val="ListParagraph"/>
        <w:numPr>
          <w:ilvl w:val="0"/>
          <w:numId w:val="1"/>
        </w:numPr>
      </w:pPr>
      <w:r>
        <w:t>Transfer equivalency for new Community College courses</w:t>
      </w:r>
    </w:p>
    <w:p w:rsidR="00342C2C" w:rsidRDefault="00342C2C" w:rsidP="00342C2C">
      <w:pPr>
        <w:ind w:left="1440"/>
      </w:pPr>
      <w:r>
        <w:t>Ned Moore addressed the fact that these transfer requests will be coming in as the Community College merger continues, and that many of these items will take place at the department level. Watch your email, and be ready.</w:t>
      </w:r>
    </w:p>
    <w:p w:rsidR="00342C2C" w:rsidRDefault="00342C2C" w:rsidP="00342C2C">
      <w:r>
        <w:t xml:space="preserve">Jessica Rutherford called for motion to approve; motion made by Stephen Cohen; seconded by Kathleen </w:t>
      </w:r>
      <w:proofErr w:type="spellStart"/>
      <w:r>
        <w:t>Bantley</w:t>
      </w:r>
      <w:proofErr w:type="spellEnd"/>
      <w:r>
        <w:t xml:space="preserve">. </w:t>
      </w:r>
    </w:p>
    <w:p w:rsidR="00342C2C" w:rsidRDefault="00342C2C" w:rsidP="00342C2C">
      <w:r>
        <w:t>Meeting was adjourned at 12:55pm.</w:t>
      </w:r>
    </w:p>
    <w:p w:rsidR="00342C2C" w:rsidRDefault="00342C2C" w:rsidP="00342C2C">
      <w:r>
        <w:t>(Minutes respectfully submitted by Heather de Savage on October 24, 2022.)</w:t>
      </w:r>
    </w:p>
    <w:sectPr w:rsidR="00342C2C" w:rsidSect="00342C2C">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A5575"/>
    <w:multiLevelType w:val="hybridMultilevel"/>
    <w:tmpl w:val="0C880A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70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59"/>
    <w:rsid w:val="00047960"/>
    <w:rsid w:val="001D03E7"/>
    <w:rsid w:val="002B27D9"/>
    <w:rsid w:val="00342C2C"/>
    <w:rsid w:val="00343731"/>
    <w:rsid w:val="004265A7"/>
    <w:rsid w:val="0048731B"/>
    <w:rsid w:val="004950E3"/>
    <w:rsid w:val="004E3CBB"/>
    <w:rsid w:val="005336EC"/>
    <w:rsid w:val="00564FF3"/>
    <w:rsid w:val="00743657"/>
    <w:rsid w:val="00775859"/>
    <w:rsid w:val="00797100"/>
    <w:rsid w:val="007F23F9"/>
    <w:rsid w:val="00BD62DD"/>
    <w:rsid w:val="00E2146D"/>
    <w:rsid w:val="00F97994"/>
    <w:rsid w:val="00FF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F7D8"/>
  <w15:chartTrackingRefBased/>
  <w15:docId w15:val="{D2DBDCAC-1B7A-483A-BA9A-4052E878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859"/>
    <w:pPr>
      <w:ind w:left="720"/>
      <w:contextualSpacing/>
    </w:pPr>
  </w:style>
  <w:style w:type="table" w:styleId="TableGrid">
    <w:name w:val="Table Grid"/>
    <w:basedOn w:val="TableNormal"/>
    <w:uiPriority w:val="39"/>
    <w:rsid w:val="00E21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66302">
      <w:bodyDiv w:val="1"/>
      <w:marLeft w:val="0"/>
      <w:marRight w:val="0"/>
      <w:marTop w:val="0"/>
      <w:marBottom w:val="0"/>
      <w:divBdr>
        <w:top w:val="none" w:sz="0" w:space="0" w:color="auto"/>
        <w:left w:val="none" w:sz="0" w:space="0" w:color="auto"/>
        <w:bottom w:val="none" w:sz="0" w:space="0" w:color="auto"/>
        <w:right w:val="none" w:sz="0" w:space="0" w:color="auto"/>
      </w:divBdr>
      <w:divsChild>
        <w:div w:id="1524437425">
          <w:marLeft w:val="0"/>
          <w:marRight w:val="0"/>
          <w:marTop w:val="0"/>
          <w:marBottom w:val="0"/>
          <w:divBdr>
            <w:top w:val="none" w:sz="0" w:space="0" w:color="auto"/>
            <w:left w:val="none" w:sz="0" w:space="0" w:color="auto"/>
            <w:bottom w:val="none" w:sz="0" w:space="0" w:color="auto"/>
            <w:right w:val="none" w:sz="0" w:space="0" w:color="auto"/>
          </w:divBdr>
        </w:div>
      </w:divsChild>
    </w:div>
    <w:div w:id="1557625597">
      <w:bodyDiv w:val="1"/>
      <w:marLeft w:val="0"/>
      <w:marRight w:val="0"/>
      <w:marTop w:val="0"/>
      <w:marBottom w:val="0"/>
      <w:divBdr>
        <w:top w:val="none" w:sz="0" w:space="0" w:color="auto"/>
        <w:left w:val="none" w:sz="0" w:space="0" w:color="auto"/>
        <w:bottom w:val="none" w:sz="0" w:space="0" w:color="auto"/>
        <w:right w:val="none" w:sz="0" w:space="0" w:color="auto"/>
      </w:divBdr>
      <w:divsChild>
        <w:div w:id="4996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DESAVAGE</dc:creator>
  <cp:keywords/>
  <dc:description/>
  <cp:lastModifiedBy>HEATHER DESAVAGE</cp:lastModifiedBy>
  <cp:revision>2</cp:revision>
  <dcterms:created xsi:type="dcterms:W3CDTF">2022-10-25T01:00:00Z</dcterms:created>
  <dcterms:modified xsi:type="dcterms:W3CDTF">2022-10-25T01:00:00Z</dcterms:modified>
</cp:coreProperties>
</file>